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F" w:rsidRPr="002A7F64" w:rsidRDefault="0081620F" w:rsidP="00B537F7"/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2693"/>
        <w:gridCol w:w="3969"/>
        <w:gridCol w:w="7480"/>
      </w:tblGrid>
      <w:tr w:rsidR="0081620F" w:rsidRPr="002A7F64" w:rsidTr="006B4B98">
        <w:trPr>
          <w:trHeight w:val="418"/>
          <w:tblHeader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jc w:val="center"/>
              <w:rPr>
                <w:rFonts w:eastAsia="Courier New"/>
                <w:b/>
                <w:color w:val="000000"/>
              </w:rPr>
            </w:pPr>
            <w:r w:rsidRPr="002A7F64">
              <w:rPr>
                <w:rFonts w:eastAsia="Courier New"/>
                <w:b/>
                <w:color w:val="000000"/>
              </w:rPr>
              <w:t>ROL GRUPLARI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jc w:val="center"/>
              <w:rPr>
                <w:rFonts w:eastAsia="Courier New"/>
                <w:b/>
                <w:color w:val="000000"/>
              </w:rPr>
            </w:pPr>
            <w:r w:rsidRPr="002A7F64">
              <w:rPr>
                <w:rFonts w:eastAsia="Courier New"/>
                <w:b/>
                <w:color w:val="000000"/>
              </w:rPr>
              <w:t>MODÜLLER</w:t>
            </w:r>
          </w:p>
        </w:tc>
        <w:tc>
          <w:tcPr>
            <w:tcW w:w="7480" w:type="dxa"/>
            <w:vAlign w:val="center"/>
          </w:tcPr>
          <w:p w:rsidR="0081620F" w:rsidRPr="002A7F64" w:rsidRDefault="002A7F64" w:rsidP="002A7F64">
            <w:pPr>
              <w:widowControl w:val="0"/>
              <w:spacing w:before="40" w:after="40"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VERİLEN YETKİLER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ARŞİV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Arşiv-Hastane Bilgi Yönetim Sistemi-Poliklinik- Servis-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551903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</w:t>
            </w:r>
            <w:r w:rsidR="00340ABC">
              <w:rPr>
                <w:rFonts w:eastAsia="Courier New"/>
                <w:color w:val="000000"/>
              </w:rPr>
              <w:t>rşiv dosyalarına erişim yetkisi-</w:t>
            </w:r>
            <w:r w:rsidR="00551903">
              <w:rPr>
                <w:rFonts w:eastAsia="Courier New"/>
                <w:color w:val="000000"/>
              </w:rPr>
              <w:t xml:space="preserve"> Arşiv no girme</w:t>
            </w:r>
            <w:r w:rsidRPr="002A7F64">
              <w:rPr>
                <w:rFonts w:eastAsia="Courier New"/>
                <w:color w:val="000000"/>
              </w:rPr>
              <w:t xml:space="preserve"> yetkisi, Dijital arşive kayıt yetkisi-</w:t>
            </w:r>
            <w:r w:rsidR="00551903">
              <w:rPr>
                <w:rFonts w:eastAsia="Courier New"/>
                <w:color w:val="000000"/>
              </w:rPr>
              <w:t xml:space="preserve"> Arıza bildirim yetkisi.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AYNİYAT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Taşınır Mal Yönetim Sistemi- Kalite Yönelim Sistemi- 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551903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Sorumlu olduğu depo bilgilerine erişim, mal girişi-çıkışı yapma yetkileri-Birim kalite dokümanlarına erişim yetkisi-</w:t>
            </w:r>
            <w:r w:rsidR="00551903">
              <w:rPr>
                <w:rFonts w:eastAsia="Courier New"/>
                <w:color w:val="000000"/>
              </w:rPr>
              <w:t xml:space="preserve"> Arıza bildirim yetkisi.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HEKİMLER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551903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Poliklinik-Servis-Merkezi </w:t>
            </w:r>
            <w:r w:rsidR="00551903">
              <w:rPr>
                <w:rFonts w:eastAsia="Courier New"/>
                <w:color w:val="000000"/>
              </w:rPr>
              <w:t>Hastane Randevu Sistemi Randevu</w:t>
            </w:r>
            <w:r w:rsidRPr="002A7F64">
              <w:rPr>
                <w:rFonts w:eastAsia="Courier New"/>
                <w:color w:val="000000"/>
              </w:rPr>
              <w:t>-Kalite Yönetim Sistemi- 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824BBF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erişim-yetkisi- ayaktan hastaya randevu kaydı verebilme yetkisi - ilgili oldukları kalite dokümanlarına erişim yetkisi-</w:t>
            </w:r>
            <w:r w:rsidR="00824BBF">
              <w:rPr>
                <w:rFonts w:eastAsia="Courier New"/>
                <w:color w:val="000000"/>
              </w:rPr>
              <w:t xml:space="preserve"> Arıza bildirim yetkisi.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TEKNİSYENLER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Arıza Takip Sistemi-Kalite Yönetim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824BBF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Birim kalite dokümanlarına erişim yetkisi-</w:t>
            </w:r>
            <w:r w:rsidR="00824BBF">
              <w:rPr>
                <w:rFonts w:eastAsia="Courier New"/>
                <w:color w:val="000000"/>
              </w:rPr>
              <w:t xml:space="preserve"> Arıza bildirim ve takip yetkisi.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ECZACILAR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Eczane-İlaç Takip Sistemi-E Reçete Onay-Anlık Mesajlaşma-Kalite Yönelim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Sorumlu olduğu eczane depolarına erişim, ilaç girişi ve çıkışı yapabilme yetkisi, ilaç takip sistemi ile bakanlığın istediği verileri gönderebilme yetkisi - Birim kalite dokümanların</w:t>
            </w:r>
            <w:r w:rsidR="00824BBF">
              <w:rPr>
                <w:rFonts w:eastAsia="Courier New"/>
                <w:color w:val="000000"/>
              </w:rPr>
              <w:t>a erişim yetkisi-Teknik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FATURALAMA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 Bilgi Yönetim Sistemi - Faturalama - Poliklinik-Servis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yatan hastaların tedavi dosyalarını sosyal güvencesine gör</w:t>
            </w:r>
            <w:r w:rsidR="00824BBF">
              <w:rPr>
                <w:rFonts w:eastAsia="Courier New"/>
                <w:color w:val="000000"/>
              </w:rPr>
              <w:t>e faturalayabilme yetkisi. Ayakt</w:t>
            </w:r>
            <w:r w:rsidRPr="002A7F64">
              <w:rPr>
                <w:rFonts w:eastAsia="Courier New"/>
                <w:color w:val="000000"/>
              </w:rPr>
              <w:t>an ve yatarak tedavi gören hasta bilgilerine erişim-yetkisi, Tanıya Dayalı İşlem Gruplama yetkisi. Kimlik Paylaşım Sisteminde hasta T.C. no sorgulayabilme- Birim kalite dokümanlarına</w:t>
            </w:r>
            <w:r w:rsidR="00824BBF">
              <w:rPr>
                <w:rFonts w:eastAsia="Courier New"/>
                <w:color w:val="000000"/>
              </w:rPr>
              <w:t xml:space="preserve"> erişim yetkisi-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GİDER TAHAKKUK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Muhasebe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tek düzen muhasebe sisteminde ilgili oldukları hesap fişi ve ödeme emirlerini oluşturabilme yetkisi, ilgili oldukları muhasebe raporlarını görebilme, izleyebilme yetkisi - Birim kalite dokümanların</w:t>
            </w:r>
            <w:r w:rsidR="00824BBF">
              <w:rPr>
                <w:rFonts w:eastAsia="Courier New"/>
                <w:color w:val="000000"/>
              </w:rPr>
              <w:t>a erişim yetkisi-Teknik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HAKLARI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Poliklinik-Servis - Sosyal Hizmet - Kimlik Paylaşım Sistemi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erişim-yetkisi. Sosyal çalışmacılar tarafından yapılan hasta görüşmelerini görebilme - Kimlik Paylaşım Sisteminde hasta T.C.  no sorgulayabilme- Birim kalite dokümanlarına erişim yetkisi- Teknik arızal</w:t>
            </w:r>
            <w:r w:rsidR="00824BBF">
              <w:rPr>
                <w:rFonts w:eastAsia="Courier New"/>
                <w:color w:val="000000"/>
              </w:rPr>
              <w:t>arı</w:t>
            </w:r>
            <w:r w:rsidRPr="002A7F64">
              <w:rPr>
                <w:rFonts w:eastAsia="Courier New"/>
                <w:color w:val="000000"/>
              </w:rPr>
              <w:t xml:space="preserve"> ilgili </w:t>
            </w:r>
            <w:r w:rsidR="006B4B98" w:rsidRPr="002A7F64">
              <w:rPr>
                <w:rFonts w:eastAsia="Courier New"/>
                <w:color w:val="000000"/>
              </w:rPr>
              <w:t>birimlere</w:t>
            </w:r>
            <w:r w:rsidRPr="002A7F64">
              <w:rPr>
                <w:rFonts w:eastAsia="Courier New"/>
                <w:color w:val="000000"/>
              </w:rPr>
              <w:t xml:space="preserve"> yazabilme yetkisi</w:t>
            </w:r>
          </w:p>
        </w:tc>
      </w:tr>
      <w:tr w:rsidR="0081620F" w:rsidRPr="002A7F64" w:rsidTr="006B4B98">
        <w:trPr>
          <w:trHeight w:val="1977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HASTA KABUL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Poliklinik-Servis — Kontenjan Ayarlama - MHRS Randevu - Kimlik Paylaşım Sistemi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erişim-yetkisi, Sosyal çalışmacılar tarafından yapılan hasla görüşmelerini görebilme - ayaklan hastaya randevu kaydı verebilme yetkisi - Kimlik Paylaşım Sisteminde hasta T.C. No sorgulayabilme- Birim kalite dokümanlarına erişim yetkisi-T</w:t>
            </w:r>
            <w:r w:rsidR="00824BBF">
              <w:rPr>
                <w:rFonts w:eastAsia="Courier New"/>
                <w:color w:val="000000"/>
              </w:rPr>
              <w:t>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693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İSTATİSTİK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İstatistik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ve toplu istatistiklerine erişim yetkisi - Hastane verileri ile ilgili kurumlara belli formatlarda istatistik raporlarını alabilme yetkisi - Birim kalite dokümanların</w:t>
            </w:r>
            <w:r w:rsidR="00824BBF">
              <w:rPr>
                <w:rFonts w:eastAsia="Courier New"/>
                <w:color w:val="000000"/>
              </w:rPr>
              <w:t>a erişim yetkisi-Teknik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547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KALİTE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Hastanede uygulanan mevcut kalite sisteminin dokümanlarının yönetmek, ilgili birimlere dijital olarak göndermek, revize etmek, olay bildirimleri ve DÖF’leri yö</w:t>
            </w:r>
            <w:r w:rsidR="00824BBF">
              <w:rPr>
                <w:rFonts w:eastAsia="Courier New"/>
                <w:color w:val="000000"/>
              </w:rPr>
              <w:t>netme yetkileri,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076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LABORATUVAR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Laboratuvar Bilgi Yönetim Sistemi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yatan hastalara yapılan laboratuvar tetkik istemlerinin laboratuvar cihazlarında çalışmasını yönelebilme, sonuçlarını onaylayabilme, sonuç raporlarını çıkarabilme laboratuvar birimi ile ilgili kurumların isledikleri raporları çıkarabilme yetkisi - Birim kalite dokümanlarına</w:t>
            </w:r>
            <w:r w:rsidR="00824BBF">
              <w:rPr>
                <w:rFonts w:eastAsia="Courier New"/>
                <w:color w:val="000000"/>
              </w:rPr>
              <w:t xml:space="preserve"> erişim yetkisi-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978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MAAŞ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Memur Bordro - insan Kaynakları Yönetim Sistemi - Yolluk Takip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Memur maaş ve döner sermaye bordrolarını ve ilgili evraklarını hazırlayabilme yetkisi, memurlarla ilgili çalışma günlerini ve kadro-kıdem derecelerini inceleyebilme yetkisi - yolluk hesaplarım hazırlayabilme yetkisi -Birim kalite dokümanlarına</w:t>
            </w:r>
            <w:r w:rsidR="00824BBF">
              <w:rPr>
                <w:rFonts w:eastAsia="Courier New"/>
                <w:color w:val="000000"/>
              </w:rPr>
              <w:t xml:space="preserve"> erişim yetkisi-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018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ÖZLÜK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İnsan Kaynakları Yönetim Sistemi - Evrak Takip Sistemi (DYS)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Hastane personellerinin kimlik, kadro, kıdem, izin, rapor vs. bilgilerini yönetebilme ilgili raporlarını çıkarabilme yetkisi - Hastaneye gelen veya hastaneden ilgili kurum ve kişilere giden yazıları yönetebilme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790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PSİKOLOGLAR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Poliklinik-Servis —Psikometri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yatarak tedavi gören hasla bilgilerine erişerek yaptıkları test ve görüşmeleri kayıt edebilme yetkisi - Hastalara yapılan görüşme ve testleri otomatik yapabilme, sonuçlarını alabilme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RAPOR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Poliklinik-Servis - Sağlık Kurulu - Arşiv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erişerek ilgili kurumlan istedikleri sağlık kurulu ve diğer formatlarda olan çeşitli raporları hazırlayabilme yetkisi - Birim kalite dokümanlarına e</w:t>
            </w:r>
            <w:r w:rsidR="00824BBF">
              <w:rPr>
                <w:rFonts w:eastAsia="Courier New"/>
                <w:color w:val="000000"/>
              </w:rPr>
              <w:t xml:space="preserve">rişim yetkisi - Teknik arızaları </w:t>
            </w:r>
            <w:r w:rsidRPr="002A7F64">
              <w:rPr>
                <w:rFonts w:eastAsia="Courier New"/>
                <w:color w:val="000000"/>
              </w:rPr>
              <w:t>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RÖNTGEN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Radyoloji Bilgi Yönetim Sistemi - Poliklinik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yatan hastalara yapılan radyoloji tetkik istemlerinin kayıtlarını yönelebilme, onaylayabilme, ilgili istatistikleri verebilme yetkisi - Malzeme isteklerini yetkili depodan yapabilme yetkisi - Birim kalite dokümanlarına </w:t>
            </w:r>
            <w:r w:rsidR="00824BBF">
              <w:rPr>
                <w:rFonts w:eastAsia="Courier New"/>
                <w:color w:val="000000"/>
              </w:rPr>
              <w:t xml:space="preserve">erişim </w:t>
            </w:r>
            <w:r w:rsidR="00824BBF">
              <w:rPr>
                <w:rFonts w:eastAsia="Courier New"/>
                <w:color w:val="000000"/>
              </w:rPr>
              <w:lastRenderedPageBreak/>
              <w:t>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16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SATIN ALMA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Satın alma-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Hastane için gerekli olan malzeme ve hizmetleri altınlarının yapılması ile ilgili kayıtları, hesapları yapabilme, evrakları hazırlayabilme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HEMŞİRELER - YATAN HASTA SERVİSLERİ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Servis - Kalite Yönelim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824BBF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Servislerinde yatarak tedavi gören hasta bilgilerine erişim, hastaların ilaç, malzeme, tetkik isteklerini ilgili depolardan yazabilme yetkisi, taburcu edebilme yetkisi, epikriz,</w:t>
            </w:r>
            <w:r w:rsidR="00824BBF">
              <w:rPr>
                <w:rFonts w:eastAsia="Courier New"/>
                <w:color w:val="000000"/>
              </w:rPr>
              <w:t>vb…</w:t>
            </w:r>
            <w:r w:rsidRPr="002A7F64">
              <w:rPr>
                <w:rFonts w:eastAsia="Courier New"/>
                <w:color w:val="000000"/>
              </w:rPr>
              <w:t xml:space="preserve">.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SOSYAL ÇALIŞMACILAR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Sosyal Hizmet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yatarak tedavi gören hasla bilgilerine erişim yetkisi - Hastalara yaptıkları görüşmeleri kayıt ederek sonuç raporlarını çıkarabilme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TIBBİ SEKRETERLER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Poliklinik-Servis - Kimlik Paylaşım Sistemi - Kalite Yönetim Sistemi- 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24BB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 Çalıştıkları birim ile sınırlı olmak şartıyla, a</w:t>
            </w:r>
            <w:r w:rsidR="0081620F" w:rsidRPr="002A7F64">
              <w:rPr>
                <w:rFonts w:eastAsia="Courier New"/>
                <w:color w:val="000000"/>
              </w:rPr>
              <w:t xml:space="preserve">yaktan ve yatarak tedavi gören hasta bilgilerine erişim yetkisi - Kimlik paylaşım sisteminden sorgulama yapabilme yetkisi- Birim kalite dokümanlarına </w:t>
            </w:r>
            <w:r>
              <w:rPr>
                <w:rFonts w:eastAsia="Courier New"/>
                <w:color w:val="000000"/>
              </w:rPr>
              <w:t>erişim yetkisi - Teknik arızaları</w:t>
            </w:r>
            <w:r w:rsidR="0081620F"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880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ÜCRET TAKİP </w:t>
            </w:r>
            <w:r w:rsidR="008C0694" w:rsidRPr="002A7F64">
              <w:rPr>
                <w:rFonts w:eastAsia="Courier New"/>
                <w:color w:val="000000"/>
              </w:rPr>
              <w:t>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 Bilgi Yönetim Sistemi - Poliklinik-Servis- Ücret Takip-Faturalama-Vezne-Sağlık Kurulu-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Sosyal güvencesi olmayan ücretli tedavi olan hastaların ödemelerini takip yetkisi, ödemelerle ilgili tebligatları çıkarabilme, ödemelerini yapan kişilerin borçlarım dekont- makbuz karşılığı hesaptan düşürebilme yetkisi- İş görmezlik raporu alan kişilerin evrak düzenlemeleri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359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VEZNE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 Bilgi Yönetim Sistemi - Vezne - Kalite Yönetim Sistemi-Arıza Takip Sistemi-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yatarak tedavi gören hasta bilgilerine erişim yetkisi - Ayaklan ve yatan hastalarda ücret ödemesi gereken hastaların tedavi masraflarının tahsilatını yazabilme, makbuz kesebilme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972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YÖNETİCİLER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 Bilgi Yönetim Sistemi - Poliklinik-Servis- Faturalama -Yönetim - Arşiv - İstatistik -Eczane -TMYS - Ücret Takip - İKYS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erişim yetkisi. Hastane bilgi sistemi ile ilgili her türlü istatistiksel raporlara erişim yetkisi</w:t>
            </w:r>
          </w:p>
        </w:tc>
      </w:tr>
    </w:tbl>
    <w:p w:rsidR="0081620F" w:rsidRPr="002A7F64" w:rsidRDefault="0081620F" w:rsidP="00B537F7"/>
    <w:sectPr w:rsidR="0081620F" w:rsidRPr="002A7F64" w:rsidSect="00816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18" w:rsidRDefault="00F47018" w:rsidP="00166227">
      <w:r>
        <w:separator/>
      </w:r>
    </w:p>
  </w:endnote>
  <w:endnote w:type="continuationSeparator" w:id="0">
    <w:p w:rsidR="00F47018" w:rsidRDefault="00F47018" w:rsidP="0016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53" w:rsidRDefault="00362C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53" w:rsidRDefault="00362C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53" w:rsidRDefault="00362C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18" w:rsidRDefault="00F47018" w:rsidP="00166227">
      <w:r>
        <w:separator/>
      </w:r>
    </w:p>
  </w:footnote>
  <w:footnote w:type="continuationSeparator" w:id="0">
    <w:p w:rsidR="00F47018" w:rsidRDefault="00F47018" w:rsidP="0016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53" w:rsidRDefault="00362C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40" w:tblpY="-412"/>
      <w:tblW w:w="14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2693"/>
      <w:gridCol w:w="2410"/>
      <w:gridCol w:w="2410"/>
      <w:gridCol w:w="2410"/>
      <w:gridCol w:w="2693"/>
    </w:tblGrid>
    <w:tr w:rsidR="0081620F" w:rsidRPr="00166227" w:rsidTr="006B4B98">
      <w:trPr>
        <w:trHeight w:val="396"/>
      </w:trPr>
      <w:tc>
        <w:tcPr>
          <w:tcW w:w="1560" w:type="dxa"/>
          <w:vMerge w:val="restart"/>
          <w:tcBorders>
            <w:top w:val="double" w:sz="4" w:space="0" w:color="31849B"/>
            <w:left w:val="double" w:sz="4" w:space="0" w:color="31849B"/>
            <w:bottom w:val="single" w:sz="4" w:space="0" w:color="auto"/>
            <w:right w:val="double" w:sz="4" w:space="0" w:color="31849B"/>
          </w:tcBorders>
        </w:tcPr>
        <w:p w:rsidR="0081620F" w:rsidRDefault="0081620F" w:rsidP="006B4B98">
          <w:pPr>
            <w:jc w:val="center"/>
            <w:rPr>
              <w:noProof/>
              <w:sz w:val="6"/>
              <w:lang w:eastAsia="tr-TR"/>
            </w:rPr>
          </w:pPr>
        </w:p>
        <w:p w:rsidR="0081620F" w:rsidRPr="00B537F7" w:rsidRDefault="0081620F" w:rsidP="006B4B98">
          <w:pPr>
            <w:jc w:val="center"/>
            <w:rPr>
              <w:rFonts w:eastAsia="Times New Roman"/>
              <w:sz w:val="6"/>
              <w:szCs w:val="20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20000" cy="720000"/>
                <wp:effectExtent l="0" t="0" r="4445" b="444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6" w:type="dxa"/>
          <w:gridSpan w:val="5"/>
          <w:tcBorders>
            <w:top w:val="double" w:sz="4" w:space="0" w:color="31849B"/>
            <w:left w:val="double" w:sz="4" w:space="0" w:color="31849B"/>
            <w:bottom w:val="double" w:sz="4" w:space="0" w:color="31849B"/>
            <w:right w:val="double" w:sz="4" w:space="0" w:color="31849B"/>
          </w:tcBorders>
          <w:vAlign w:val="center"/>
        </w:tcPr>
        <w:p w:rsidR="0081620F" w:rsidRPr="002A7F64" w:rsidRDefault="00362C53" w:rsidP="006B4B98">
          <w:pPr>
            <w:jc w:val="center"/>
            <w:rPr>
              <w:rFonts w:eastAsia="Times New Roman"/>
              <w:b/>
              <w:lang w:eastAsia="tr-TR"/>
            </w:rPr>
          </w:pPr>
          <w:r w:rsidRPr="00362C53">
            <w:rPr>
              <w:rFonts w:eastAsia="Times New Roman"/>
              <w:b/>
              <w:color w:val="808080"/>
              <w:lang w:eastAsia="tr-TR"/>
            </w:rPr>
            <w:t>KİLİS DEVLET HASTANESİ</w:t>
          </w:r>
        </w:p>
      </w:tc>
    </w:tr>
    <w:tr w:rsidR="0081620F" w:rsidRPr="00166227" w:rsidTr="006B4B98">
      <w:trPr>
        <w:trHeight w:val="414"/>
      </w:trPr>
      <w:tc>
        <w:tcPr>
          <w:tcW w:w="1560" w:type="dxa"/>
          <w:vMerge/>
          <w:tcBorders>
            <w:top w:val="double" w:sz="4" w:space="0" w:color="31849B"/>
            <w:left w:val="double" w:sz="4" w:space="0" w:color="31849B"/>
            <w:bottom w:val="single" w:sz="4" w:space="0" w:color="auto"/>
            <w:right w:val="double" w:sz="4" w:space="0" w:color="31849B"/>
          </w:tcBorders>
        </w:tcPr>
        <w:p w:rsidR="0081620F" w:rsidRPr="00166227" w:rsidRDefault="0081620F" w:rsidP="006B4B98">
          <w:pPr>
            <w:jc w:val="center"/>
            <w:rPr>
              <w:rFonts w:eastAsia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2616" w:type="dxa"/>
          <w:gridSpan w:val="5"/>
          <w:tcBorders>
            <w:top w:val="double" w:sz="4" w:space="0" w:color="31849B"/>
            <w:left w:val="double" w:sz="4" w:space="0" w:color="31849B"/>
            <w:bottom w:val="single" w:sz="4" w:space="0" w:color="auto"/>
            <w:right w:val="double" w:sz="4" w:space="0" w:color="31849B"/>
          </w:tcBorders>
          <w:vAlign w:val="center"/>
        </w:tcPr>
        <w:p w:rsidR="0081620F" w:rsidRPr="00B70672" w:rsidRDefault="002A7F64" w:rsidP="006B4B98">
          <w:pPr>
            <w:jc w:val="center"/>
            <w:rPr>
              <w:rFonts w:eastAsia="Times New Roman"/>
              <w:b/>
              <w:color w:val="FF0000"/>
              <w:lang w:eastAsia="tr-TR"/>
            </w:rPr>
          </w:pPr>
          <w:r>
            <w:rPr>
              <w:rFonts w:eastAsia="Times New Roman"/>
              <w:b/>
              <w:color w:val="FF0000"/>
              <w:lang w:eastAsia="tr-TR"/>
            </w:rPr>
            <w:t xml:space="preserve">SAĞLIK BİLGİ YÖNETİM SİSTEMİ </w:t>
          </w:r>
          <w:r w:rsidR="0081620F" w:rsidRPr="00B70672">
            <w:rPr>
              <w:rFonts w:eastAsia="Times New Roman"/>
              <w:b/>
              <w:color w:val="FF0000"/>
              <w:lang w:eastAsia="tr-TR"/>
            </w:rPr>
            <w:t>ERİŞİM YETKİ VE KONTROL MATRİSİ</w:t>
          </w:r>
        </w:p>
      </w:tc>
    </w:tr>
    <w:tr w:rsidR="0081620F" w:rsidRPr="00166227" w:rsidTr="006B4B98">
      <w:trPr>
        <w:trHeight w:val="547"/>
      </w:trPr>
      <w:tc>
        <w:tcPr>
          <w:tcW w:w="1560" w:type="dxa"/>
          <w:vMerge/>
          <w:tcBorders>
            <w:top w:val="single" w:sz="4" w:space="0" w:color="auto"/>
            <w:left w:val="double" w:sz="4" w:space="0" w:color="31849B"/>
            <w:bottom w:val="double" w:sz="4" w:space="0" w:color="365F91"/>
            <w:right w:val="double" w:sz="4" w:space="0" w:color="31849B"/>
          </w:tcBorders>
        </w:tcPr>
        <w:p w:rsidR="0081620F" w:rsidRPr="00166227" w:rsidRDefault="0081620F" w:rsidP="006B4B98">
          <w:pPr>
            <w:rPr>
              <w:rFonts w:eastAsia="Times New Roman"/>
              <w:sz w:val="20"/>
              <w:szCs w:val="20"/>
              <w:lang w:eastAsia="tr-TR"/>
            </w:rPr>
          </w:pPr>
        </w:p>
      </w:tc>
      <w:tc>
        <w:tcPr>
          <w:tcW w:w="2693" w:type="dxa"/>
          <w:tcBorders>
            <w:top w:val="double" w:sz="4" w:space="0" w:color="31849B"/>
            <w:left w:val="double" w:sz="4" w:space="0" w:color="31849B"/>
            <w:bottom w:val="double" w:sz="4" w:space="0" w:color="365F91"/>
            <w:right w:val="double" w:sz="4" w:space="0" w:color="31849B"/>
          </w:tcBorders>
          <w:vAlign w:val="center"/>
        </w:tcPr>
        <w:p w:rsidR="0081620F" w:rsidRPr="00E32322" w:rsidRDefault="0081620F" w:rsidP="00362C53">
          <w:pPr>
            <w:jc w:val="center"/>
            <w:rPr>
              <w:rFonts w:eastAsia="Times New Roman"/>
              <w:b/>
              <w:color w:val="808080"/>
              <w:sz w:val="18"/>
              <w:szCs w:val="18"/>
              <w:lang w:eastAsia="tr-TR"/>
            </w:rPr>
          </w:pPr>
          <w:r w:rsidRPr="00166227">
            <w:rPr>
              <w:rFonts w:eastAsia="Times New Roman"/>
              <w:b/>
              <w:color w:val="808080"/>
              <w:sz w:val="18"/>
              <w:szCs w:val="18"/>
              <w:lang w:eastAsia="tr-TR"/>
            </w:rPr>
            <w:t>Doküman Kodu:</w:t>
          </w:r>
          <w:r w:rsidR="00362C53">
            <w:t xml:space="preserve"> </w:t>
          </w:r>
          <w:r w:rsidR="00362C53">
            <w:rPr>
              <w:rFonts w:eastAsia="Times New Roman"/>
              <w:b/>
              <w:color w:val="808080"/>
              <w:sz w:val="18"/>
              <w:szCs w:val="18"/>
              <w:lang w:eastAsia="tr-TR"/>
            </w:rPr>
            <w:t>BY.YD.04</w:t>
          </w:r>
          <w:bookmarkStart w:id="0" w:name="_GoBack"/>
          <w:bookmarkEnd w:id="0"/>
        </w:p>
      </w:tc>
      <w:tc>
        <w:tcPr>
          <w:tcW w:w="2410" w:type="dxa"/>
          <w:tcBorders>
            <w:top w:val="double" w:sz="4" w:space="0" w:color="31849B"/>
            <w:left w:val="double" w:sz="4" w:space="0" w:color="31849B"/>
            <w:bottom w:val="double" w:sz="4" w:space="0" w:color="31849B"/>
            <w:right w:val="double" w:sz="4" w:space="0" w:color="365F91"/>
          </w:tcBorders>
          <w:vAlign w:val="center"/>
        </w:tcPr>
        <w:p w:rsidR="0081620F" w:rsidRPr="00166227" w:rsidRDefault="0081620F" w:rsidP="00362C53">
          <w:pPr>
            <w:jc w:val="center"/>
            <w:rPr>
              <w:rFonts w:eastAsia="Times New Roman"/>
              <w:b/>
              <w:color w:val="808080"/>
              <w:sz w:val="18"/>
              <w:szCs w:val="18"/>
              <w:lang w:eastAsia="tr-TR"/>
            </w:rPr>
          </w:pPr>
          <w:r w:rsidRPr="00166227">
            <w:rPr>
              <w:rFonts w:eastAsia="Times New Roman"/>
              <w:b/>
              <w:color w:val="808080"/>
              <w:sz w:val="18"/>
              <w:szCs w:val="18"/>
              <w:lang w:eastAsia="tr-TR"/>
            </w:rPr>
            <w:t>Yayın Tarihi:</w:t>
          </w:r>
          <w:r w:rsidR="00362C53">
            <w:rPr>
              <w:rFonts w:eastAsia="Times New Roman"/>
              <w:b/>
              <w:color w:val="808080"/>
              <w:sz w:val="18"/>
              <w:szCs w:val="18"/>
              <w:lang w:eastAsia="tr-TR"/>
            </w:rPr>
            <w:t>ARALIK 2019</w:t>
          </w:r>
        </w:p>
      </w:tc>
      <w:tc>
        <w:tcPr>
          <w:tcW w:w="2410" w:type="dxa"/>
          <w:tcBorders>
            <w:top w:val="double" w:sz="4" w:space="0" w:color="31849B"/>
            <w:left w:val="double" w:sz="4" w:space="0" w:color="365F91"/>
            <w:bottom w:val="double" w:sz="4" w:space="0" w:color="365F91"/>
            <w:right w:val="double" w:sz="4" w:space="0" w:color="31849B"/>
          </w:tcBorders>
          <w:vAlign w:val="center"/>
        </w:tcPr>
        <w:p w:rsidR="0081620F" w:rsidRPr="00166227" w:rsidRDefault="0081620F" w:rsidP="00E777E7">
          <w:pPr>
            <w:jc w:val="center"/>
            <w:rPr>
              <w:rFonts w:eastAsia="Times New Roman"/>
              <w:b/>
              <w:color w:val="808080"/>
              <w:sz w:val="18"/>
              <w:szCs w:val="18"/>
              <w:lang w:eastAsia="tr-TR"/>
            </w:rPr>
          </w:pPr>
          <w:r w:rsidRPr="00166227">
            <w:rPr>
              <w:rFonts w:eastAsia="Times New Roman"/>
              <w:b/>
              <w:color w:val="808080"/>
              <w:sz w:val="18"/>
              <w:szCs w:val="18"/>
              <w:lang w:eastAsia="tr-TR"/>
            </w:rPr>
            <w:t>Revizyon Tarihi:</w:t>
          </w:r>
        </w:p>
      </w:tc>
      <w:tc>
        <w:tcPr>
          <w:tcW w:w="2410" w:type="dxa"/>
          <w:tcBorders>
            <w:top w:val="double" w:sz="4" w:space="0" w:color="31849B"/>
            <w:left w:val="double" w:sz="4" w:space="0" w:color="31849B"/>
            <w:bottom w:val="double" w:sz="4" w:space="0" w:color="365F91"/>
            <w:right w:val="double" w:sz="4" w:space="0" w:color="31849B"/>
          </w:tcBorders>
          <w:vAlign w:val="center"/>
        </w:tcPr>
        <w:p w:rsidR="0081620F" w:rsidRPr="00166227" w:rsidRDefault="0081620F" w:rsidP="00E777E7">
          <w:pPr>
            <w:jc w:val="center"/>
            <w:rPr>
              <w:rFonts w:eastAsia="Times New Roman"/>
              <w:b/>
              <w:color w:val="808080"/>
              <w:sz w:val="18"/>
              <w:szCs w:val="18"/>
              <w:lang w:eastAsia="tr-TR"/>
            </w:rPr>
          </w:pPr>
          <w:r w:rsidRPr="00166227">
            <w:rPr>
              <w:rFonts w:eastAsia="Times New Roman"/>
              <w:b/>
              <w:color w:val="808080"/>
              <w:sz w:val="18"/>
              <w:szCs w:val="18"/>
              <w:lang w:eastAsia="tr-TR"/>
            </w:rPr>
            <w:t>Revizyon No:</w:t>
          </w:r>
        </w:p>
      </w:tc>
      <w:tc>
        <w:tcPr>
          <w:tcW w:w="2693" w:type="dxa"/>
          <w:tcBorders>
            <w:top w:val="double" w:sz="4" w:space="0" w:color="31849B"/>
            <w:left w:val="double" w:sz="4" w:space="0" w:color="31849B"/>
            <w:bottom w:val="double" w:sz="4" w:space="0" w:color="365F91"/>
            <w:right w:val="double" w:sz="4" w:space="0" w:color="31849B"/>
          </w:tcBorders>
          <w:vAlign w:val="center"/>
        </w:tcPr>
        <w:p w:rsidR="0081620F" w:rsidRPr="00166227" w:rsidRDefault="0081620F" w:rsidP="006B4B98">
          <w:pPr>
            <w:jc w:val="center"/>
            <w:rPr>
              <w:rFonts w:eastAsia="Times New Roman"/>
              <w:b/>
              <w:color w:val="808080"/>
              <w:sz w:val="18"/>
              <w:szCs w:val="18"/>
              <w:lang w:eastAsia="tr-TR"/>
            </w:rPr>
          </w:pPr>
          <w:r w:rsidRPr="00166227">
            <w:rPr>
              <w:rFonts w:eastAsia="Times New Roman"/>
              <w:b/>
              <w:color w:val="808080"/>
              <w:sz w:val="18"/>
              <w:szCs w:val="18"/>
              <w:lang w:eastAsia="tr-TR"/>
            </w:rPr>
            <w:t>Sayfa No / Sayısı:</w:t>
          </w:r>
        </w:p>
        <w:p w:rsidR="0081620F" w:rsidRPr="00166227" w:rsidRDefault="005B3DF6" w:rsidP="006B4B98">
          <w:pPr>
            <w:jc w:val="center"/>
            <w:rPr>
              <w:rFonts w:eastAsia="Times New Roman"/>
              <w:b/>
              <w:color w:val="808080"/>
              <w:sz w:val="18"/>
              <w:szCs w:val="18"/>
              <w:lang w:eastAsia="tr-TR"/>
            </w:rPr>
          </w:pPr>
          <w:r w:rsidRPr="002A7F64">
            <w:rPr>
              <w:rFonts w:eastAsia="Times New Roman"/>
              <w:b/>
              <w:color w:val="808080"/>
              <w:sz w:val="18"/>
              <w:szCs w:val="18"/>
              <w:highlight w:val="yellow"/>
              <w:lang w:eastAsia="tr-TR"/>
            </w:rPr>
            <w:fldChar w:fldCharType="begin"/>
          </w:r>
          <w:r w:rsidR="0081620F" w:rsidRPr="002A7F64">
            <w:rPr>
              <w:rFonts w:eastAsia="Times New Roman"/>
              <w:b/>
              <w:color w:val="808080"/>
              <w:sz w:val="18"/>
              <w:szCs w:val="18"/>
              <w:highlight w:val="yellow"/>
              <w:lang w:eastAsia="tr-TR"/>
            </w:rPr>
            <w:instrText>PAGE  \* Arabic  \* MERGEFORMAT</w:instrText>
          </w:r>
          <w:r w:rsidRPr="002A7F64">
            <w:rPr>
              <w:rFonts w:eastAsia="Times New Roman"/>
              <w:b/>
              <w:color w:val="808080"/>
              <w:sz w:val="18"/>
              <w:szCs w:val="18"/>
              <w:highlight w:val="yellow"/>
              <w:lang w:eastAsia="tr-TR"/>
            </w:rPr>
            <w:fldChar w:fldCharType="separate"/>
          </w:r>
          <w:r w:rsidR="00362C53">
            <w:rPr>
              <w:rFonts w:eastAsia="Times New Roman"/>
              <w:b/>
              <w:noProof/>
              <w:color w:val="808080"/>
              <w:sz w:val="18"/>
              <w:szCs w:val="18"/>
              <w:highlight w:val="yellow"/>
              <w:lang w:eastAsia="tr-TR"/>
            </w:rPr>
            <w:t>1</w:t>
          </w:r>
          <w:r w:rsidRPr="002A7F64">
            <w:rPr>
              <w:rFonts w:eastAsia="Times New Roman"/>
              <w:b/>
              <w:color w:val="808080"/>
              <w:sz w:val="18"/>
              <w:szCs w:val="18"/>
              <w:highlight w:val="yellow"/>
              <w:lang w:eastAsia="tr-TR"/>
            </w:rPr>
            <w:fldChar w:fldCharType="end"/>
          </w:r>
          <w:r w:rsidR="0081620F" w:rsidRPr="002A7F64">
            <w:rPr>
              <w:rFonts w:eastAsia="Times New Roman"/>
              <w:b/>
              <w:color w:val="808080"/>
              <w:sz w:val="18"/>
              <w:szCs w:val="18"/>
              <w:highlight w:val="yellow"/>
              <w:lang w:eastAsia="tr-TR"/>
            </w:rPr>
            <w:t xml:space="preserve"> / </w:t>
          </w:r>
          <w:r w:rsidR="002A7F64" w:rsidRPr="002A7F64">
            <w:rPr>
              <w:rFonts w:eastAsia="Times New Roman"/>
              <w:b/>
              <w:color w:val="808080"/>
              <w:sz w:val="18"/>
              <w:szCs w:val="18"/>
              <w:highlight w:val="yellow"/>
              <w:lang w:eastAsia="tr-TR"/>
            </w:rPr>
            <w:t>5</w:t>
          </w:r>
        </w:p>
      </w:tc>
    </w:tr>
  </w:tbl>
  <w:p w:rsidR="00E32322" w:rsidRPr="0081620F" w:rsidRDefault="00E32322" w:rsidP="008162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53" w:rsidRDefault="00362C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EDB"/>
    <w:rsid w:val="00045ED2"/>
    <w:rsid w:val="00057A8A"/>
    <w:rsid w:val="0015431C"/>
    <w:rsid w:val="00166227"/>
    <w:rsid w:val="002077EA"/>
    <w:rsid w:val="00237348"/>
    <w:rsid w:val="00295404"/>
    <w:rsid w:val="002A7F64"/>
    <w:rsid w:val="00336A18"/>
    <w:rsid w:val="0034034B"/>
    <w:rsid w:val="00340ABC"/>
    <w:rsid w:val="00353462"/>
    <w:rsid w:val="00362C53"/>
    <w:rsid w:val="003878DC"/>
    <w:rsid w:val="004132CC"/>
    <w:rsid w:val="00427F19"/>
    <w:rsid w:val="004633FD"/>
    <w:rsid w:val="00473168"/>
    <w:rsid w:val="004C5EDB"/>
    <w:rsid w:val="005119D7"/>
    <w:rsid w:val="005366FE"/>
    <w:rsid w:val="00551903"/>
    <w:rsid w:val="00582E73"/>
    <w:rsid w:val="005A3927"/>
    <w:rsid w:val="005B3DF6"/>
    <w:rsid w:val="005C64AC"/>
    <w:rsid w:val="005E7065"/>
    <w:rsid w:val="0064084C"/>
    <w:rsid w:val="006A52F0"/>
    <w:rsid w:val="006B46FC"/>
    <w:rsid w:val="006B4B98"/>
    <w:rsid w:val="006B757D"/>
    <w:rsid w:val="0081620F"/>
    <w:rsid w:val="00824BBF"/>
    <w:rsid w:val="0083011C"/>
    <w:rsid w:val="008625EB"/>
    <w:rsid w:val="008C0694"/>
    <w:rsid w:val="008C5B29"/>
    <w:rsid w:val="009101C3"/>
    <w:rsid w:val="00AB02C8"/>
    <w:rsid w:val="00B40D44"/>
    <w:rsid w:val="00B537F7"/>
    <w:rsid w:val="00B63B2D"/>
    <w:rsid w:val="00B70672"/>
    <w:rsid w:val="00B96510"/>
    <w:rsid w:val="00BB6591"/>
    <w:rsid w:val="00C93E7B"/>
    <w:rsid w:val="00D12B1D"/>
    <w:rsid w:val="00D43611"/>
    <w:rsid w:val="00D713FF"/>
    <w:rsid w:val="00DD09ED"/>
    <w:rsid w:val="00E32322"/>
    <w:rsid w:val="00E42D3B"/>
    <w:rsid w:val="00E62C6C"/>
    <w:rsid w:val="00E777E7"/>
    <w:rsid w:val="00F453B5"/>
    <w:rsid w:val="00F47018"/>
    <w:rsid w:val="00F9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C919"/>
  <w15:docId w15:val="{9A87056C-76D6-4E56-8C7C-FBF0B62E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62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66227"/>
  </w:style>
  <w:style w:type="paragraph" w:styleId="AltBilgi">
    <w:name w:val="footer"/>
    <w:basedOn w:val="Normal"/>
    <w:link w:val="AltBilgiChar"/>
    <w:uiPriority w:val="99"/>
    <w:unhideWhenUsed/>
    <w:rsid w:val="001662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66227"/>
  </w:style>
  <w:style w:type="paragraph" w:styleId="BalonMetni">
    <w:name w:val="Balloon Text"/>
    <w:basedOn w:val="Normal"/>
    <w:link w:val="BalonMetniChar"/>
    <w:uiPriority w:val="99"/>
    <w:semiHidden/>
    <w:unhideWhenUsed/>
    <w:rsid w:val="001662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2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6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4D18-B0C1-4154-8B4F-2FFD4EC2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Tayfun DÖNMEZ</dc:creator>
  <cp:lastModifiedBy>NURGÜL POLAT</cp:lastModifiedBy>
  <cp:revision>3</cp:revision>
  <cp:lastPrinted>2019-01-18T08:18:00Z</cp:lastPrinted>
  <dcterms:created xsi:type="dcterms:W3CDTF">2019-12-24T20:01:00Z</dcterms:created>
  <dcterms:modified xsi:type="dcterms:W3CDTF">2019-12-25T07:51:00Z</dcterms:modified>
</cp:coreProperties>
</file>